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14 vom 20. Februar 2025</w:t>
      </w:r>
    </w:p>
    <w:p>
      <w:r>
        <w:t>VS Kantonsgericht, 2025-02-20, FR</w:t>
      </w:r>
    </w:p>
    <w:p>
      <w:r>
        <w:rPr>
          <w:b/>
        </w:rPr>
        <w:t xml:space="preserve">Quelle: </w:t>
      </w:r>
      <w:r>
        <w:t>https://mcp.opencaselaw.ch/entscheid/vs_gerichte_F1 24 14</w:t>
      </w:r>
    </w:p>
    <w:p>
      <w:r>
        <w:t>FR: VS_GERICHTE F1 24 14 du 20 février 2025</w:t>
      </w:r>
    </w:p>
    <w:p>
      <w:r>
        <w:t>IT: VS_GERICHTE F1 24 14 del 20 febbraio 2025</w:t>
      </w:r>
    </w:p>
    <w:p>
      <w:pPr>
        <w:pStyle w:val="Heading2"/>
      </w:pPr>
      <w:r>
        <w:t>Regeste</w:t>
      </w:r>
    </w:p>
    <w:p>
      <w:r>
        <w:t>F1 24 14 (CCR 2021/50) ARRÊT DU 20 FÉVRIER 2025 Tribunal cantonal du Valais Cour de droit fiscal Composition : Frédéric Fellay, président ; Dr Thierry Schnyder, juge ; Laurent Tschopp, juge assesseur ; Julia Kamhi, greffière, en la cause X _________ et Y _________, recourants, représentés par Maître Stéphane Jordan, avocat, 1951 Sion contre SERVICE CANTONAL DES CONTRIBUTIONS, autorité attaquée (Impôt sur le revenu et la fortune des personnes physiques, périodes fiscales 2012 à 2014) recours contre la décision sur réclamation du 13 juillet 2021</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et art. 8 LALIFD). Il lui appartient par conséquent de statuer sur les périodes fiscales 2012 à 2014, non traitées par la CCR dans l’arrêt du 16 mars 2023.</w:t>
      </w:r>
    </w:p>
    <w:p>
      <w:r>
        <w:rPr>
          <w:b/>
        </w:rPr>
        <w:t>E. 1.2</w:t>
      </w:r>
    </w:p>
    <w:p>
      <w:r>
        <w:t>Le recours porte tant sur l’IFD que sur les ICC et peut être traité dans un seul arrêt (cf. ATF 135 II 260 consid. 1.3.1). Il a été formé régulièrement, de sorte qu’il convient</w:t>
      </w:r>
    </w:p>
    <w:p>
      <w:r>
        <w:t>- 10 - d’entrer en matière (art. 140 ss LIFD ; art. 50 al. 1 LHID ; art. 150 et 150a LF dans leur version en vigueur jusqu’au 31 décembre 2023 ; art. 150 LF).</w:t>
      </w:r>
    </w:p>
    <w:p>
      <w:r>
        <w:rPr>
          <w:b/>
        </w:rPr>
        <w:t>E. 1.3</w:t>
      </w:r>
    </w:p>
    <w:p>
      <w:r>
        <w:t>Le SCC a déposé son dossier ainsi que le rapport de dénonciation de la police cantonale sur lequel il s’est fondé pour prononcer les décisions de rappels d’impôts. La requête correspondante des recourants est ainsi satisfaite. Il n’y a pas lieu d’entendre oralement Y _________, qui a eu tout le loisir de s’exprimer par écrit. L’édition de l’ensemble du dossier pénal pendant auprès du Ministère public (MPC 16 15 31) n’est pas non plus nécessaire, dans la mesure où les recourants ont été en mesure d’en produire les pièces utiles à la défense de leur cause. Quant aux déclarations des membres de l’équipe de pétanque du recourant, elles ne sont pas nécessaires à la résolution du litige, comme on le verra ci-dessous (cf. infra consid. 3.3).</w:t>
      </w:r>
    </w:p>
    <w:p>
      <w:r>
        <w:rPr>
          <w:b/>
        </w:rPr>
        <w:t>E. 2</w:t>
      </w:r>
    </w:p>
    <w:p>
      <w:r>
        <w:t>Dans leurs déterminations du 30 août 2023, les recourants ont sollicité à nouveau qu’il ne soit pas statué sur leur recours jusqu’à droit connu sur la procédure pénale diligentée contre Y _________.</w:t>
      </w:r>
    </w:p>
    <w:p>
      <w:r>
        <w:rPr>
          <w:b/>
        </w:rPr>
        <w:t>E. 2.1</w:t>
      </w:r>
    </w:p>
    <w:p>
      <w:r>
        <w:t>Conformément à l’art. 126 al. 1 CPC, applicable par renvoi des art. 150 al. 3 LF et 81 LPJA, le tribunal peut ordonner la suspension de la procédure si des motifs d’opportunité le commandent. La procédure peut notamment être suspendue lorsque la décision dépend du sort d’un autre procès. Selon la jurisprudence, la suspension doit être compatible avec le principe constitutionnel de célérité (art. 29 al. 1 Cst.). Elle ne doit être admise qu’exceptionnellement, lorsqu'il s'agit d'attendre le prononcé de la décision d'une autre autorité et qui permettrait de trancher une question décisive (ATF 135 III 127 consid. 3.4 ; arrêt du Tribunal administratif fédéral A-1351/2022 du 14 avril 2023 consid. 1.6.2).</w:t>
      </w:r>
    </w:p>
    <w:p>
      <w:r>
        <w:rPr>
          <w:b/>
        </w:rPr>
        <w:t>E. 2.2</w:t>
      </w:r>
    </w:p>
    <w:p>
      <w:r>
        <w:t>En l’occurrence, les recourants soutiennent que le fisc ne pourra procéder à leur taxation définitive qu’en fonction des résultats de la procédure pénale. En outre, ils ne sauraient être taxés sur la base d’éléments de faits contestés et en cours d’investigation. Ils perdent toutefois de vue que la résolution du présent litige ne nécessite nullement de déterminer si Y _________ s’est rendu coupable des infractions qui lui sont reprochées. Il s’agit uniquement d’examiner si les éléments à la base du rappel d’impôt constituent des éléments de fortune et de revenu imposables. A ce propos, l’on relèvera que le point de savoir si des avantages patrimoniaux ont été acquis délictueusement n’apparaît pas propre à modifier leur qualification fiscale en tant que revenus imposables (cf. à ce sujet REICH, Rückerstattung von übersetzten Boni und andere Lohnzahlungen in : ASA 80 p. 120). L’on observe au surplus que les faits retenus dans le rapport de la police</w:t>
      </w:r>
    </w:p>
    <w:p>
      <w:r>
        <w:t>- 11 - cantonale se basaient essentiellement sur les déclarations du recourant et de A _________, contrairement à ce que le recourant allègue lorsqu’il prétend que le SCC a ignoré ses déclarations en sélectionnant dans le dossier pénal les éléments qui « lui convenaient ». Par ailleurs, l’on ne saisit pas quels éléments de faits nécessiteraient des mesures d’investigations supplémentaires des autorités pénales que les recourants ne seraient pas en mesure d’apporter eux-mêmes dans la présente procédure – hormis les auditions des membres de l’équipe de pétanque du recourant, qui ne sont de toute manière pas nécessaires à la résolution du litige (cf. supra consid. 1.3). Partant, il n’est pas nécessaire d’attendre l’issue de la procédure pénale pour statuer dans la présente cause. La demande de suspension de la cause doit donc être rejetée. II. Impôt fédéral direct Versements de C _________ SA</w:t>
      </w:r>
    </w:p>
    <w:p>
      <w:r>
        <w:rPr>
          <w:b/>
        </w:rPr>
        <w:t>E. 3</w:t>
      </w:r>
    </w:p>
    <w:p>
      <w:r>
        <w:t>Le recourant conteste que les montants annuels de 5000 fr. reçus de C _________ SA entre 2012 et 2014 constituent un revenu imposable.</w:t>
      </w:r>
    </w:p>
    <w:p>
      <w:r>
        <w:rPr>
          <w:b/>
        </w:rPr>
        <w:t>E. 3.1</w:t>
      </w:r>
    </w:p>
    <w:p>
      <w:r>
        <w:t>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arrêt du Tribunal fédéral 2C_74/2021 du 26 juillet 2021 consid 7.1). En vertu de l'art. 24 LIFD, sont exonérées de l'impôt sur le revenu notamment les dévolutions de fortune ensuite d'une donation (let. a) et les subsides provenant de fonds publics ou privés (let. d).</w:t>
      </w:r>
    </w:p>
    <w:p>
      <w:r>
        <w:rPr>
          <w:b/>
        </w:rPr>
        <w:t>E. 3.2</w:t>
      </w:r>
    </w:p>
    <w:p>
      <w:r>
        <w:t>Il y a donation au sens de l'art. 24 let. a LIFD si trois conditions sont remplies : 1) un versement est effectué entre vifs, 2) à titre gratuit et 3) dans l'intention de faire une donation (animus donandi) (arrêt du Tribunal fédéral 2C_148/2020 du 18 janvier 2021 consid. 7.1). Selon la jurisprudence, il est généralement admis que les sociétés de capitaux ne font en principe pas de donation, car elles versent des montants pour des motifs économiques (ATF 146 II 6 consid. 7.1 ; HUNZIKER/MAYER-KNOBEL, in : ZWEIFEL/BEUSCH [édit.], Bundesgesetz über die direkte Bundessteuer, 4ème éd. 2022, n° 7 ad art. 24 LIFD ; OBERSON, Droit fiscal suisse, 5ème éd. 2021, § 7 n° 268). En cas de versements provenant d’une personne morale, sans contrepartie, d’une somme d’argent à une personne nécessiteuse, la qualification de subside peut en revanche se poser (OBERSON, op. cit., § 7 n° 268 et 272).</w:t>
      </w:r>
    </w:p>
    <w:p>
      <w:r>
        <w:t>- 12 - Constitue un subside au sens de l'art. 24 let. d LIFD la prestation provenant de fonds publics ou privés et versée à titre gratuit à une personne se trouvant dans une situation de gêne (personne nécessiteuse) dans le but de lui venir en aide (ATF 146 II 6 consid. 7.2). Ainsi, il faut, pour que l'exonération soit accordée, que le bénéficiaire se trouve dans une situation de gêne (critère du besoin), que l'entité de droit public ou privé qui verse la prestation le fasse dans le but de venir en aide (critère de l'assistance) et, enfin, que le versement ait un caractère désintéressé et non onéreux, soit l'absence de contre-prestation ou de contrepartie exigée de la part du bénéficiaire (ATF 146 II 6 consid. 7.2). En outre, pour être exonéré, le subside ne doit pas dépasser, additionné aux autres revenus du contribuable, le revenu déterminant fixé par la LPC (ATF 146 II 6 consid. 6.2).</w:t>
      </w:r>
    </w:p>
    <w:p>
      <w:r>
        <w:rPr>
          <w:b/>
        </w:rPr>
        <w:t>E. 3.3</w:t>
      </w:r>
    </w:p>
    <w:p>
      <w:r>
        <w:t>En l’occurrence, le recourant affirme que les montants de 5000 fr. reçus annuellement de C _________ SA constituaient un soutien sportif destiné à couvrir les frais de ses concours de pétanque, de sorte qu’ils ne seraient pas imposables. Cet argument ne peut être suivi. En effet, le fait que ces montants aient été versés au contribuable par une société de capitaux exclut d’emblée leur qualification comme donation exonérée d'impôts, comme exposé ci-dessus. Au demeurant, le recourant, qui s’est lié à A _________ dès 2009, a fourni diverses prestations de services et de conseils pour C _________ SA durant les années 2013 et 2014. Il a lui-même déclaré à la police cantonale avoir établi diverses factures à l’attention de la société pour ces services, sans toutefois avoir été rémunéré. Or, l’existence de ces contre-prestations en faveur de C _________ SA exclut que les versements litigieux puissent être qualifiés de donations ou de subsides, comme on l’a vu plus haut. Seule une qualification à titre de subside pourrait théoriquement entrer en ligne de compte, mais cette hypothèse est ici hors de propos. Sous l’angle des conditions d’un subside, le recourant n’a ni allégué ni démontré qu’il se trouvait dans une situation de gêne au moment où ces montants lui ont été versés par C _________ SA. De manière plus générale, le recourant n’est pas parvenu à établir que les montants litigieux lui ont été versés à titre de sponsoring pour ses concours de pétanque, ainsi qu’il le prétend. Il n’a en effet nullement établi avoir déboursé environ 5000 fr. par an pour ces concours, n’ayant pas produit la moindre preuve de paiement y relative. La liste des frais liés à ces concours ne constitue pas une preuve en ce sens. Elle ne permet pas non plus de faire le lien entre ces frais et les montants versés par la société. Le recourant n’a de surcroît nullement expliqué en quoi aurait consisté la contrepartie de ce sponsoring d’ampleur. Cela étant, au vu de l’ensemble de ces éléments, les potentielles déclarations des autres</w:t>
      </w:r>
    </w:p>
    <w:p>
      <w:r>
        <w:t>- 13 - membres de l’équipe de pétanque du contribuable, même si elles devaient confirmer les dires de celui-ci, ne permettraient pas de retenir l’existence de montants non imposables en tant que revenus. Du reste, alors que le recourant prétend que ces montants ont également servi à payer les frais des autres membres de son équipe de pétanque, il ressort de ses déclarations devant la police cantonale qu’il ne semblait pas savoir avec certitude si l’un de ces membres était au courant des montants prétendument reçus à titre de sponsoring (p. 97 du dossier du TC). L’on ne peut donc accorder que peu de crédit à ses allégations. Les montants de 5000 fr. litigieux doivent par conséquent être imposés à titre de revenu en application de la clause générale prévue à l’art. 16 al. 1 LIFD. Le grief y relatif doit donc être rejeté. Véhicule Mercedes-Benz</w:t>
      </w:r>
    </w:p>
    <w:p>
      <w:r>
        <w:rPr>
          <w:b/>
        </w:rPr>
        <w:t>E. 4</w:t>
      </w:r>
    </w:p>
    <w:p>
      <w:r>
        <w:t>Le recourant conteste le rappel d’impôt lié au véhicule cédé par C _________ SA en 2012.</w:t>
      </w:r>
    </w:p>
    <w:p>
      <w:r>
        <w:rPr>
          <w:b/>
        </w:rPr>
        <w:t>E. 4.1</w:t>
      </w:r>
    </w:p>
    <w:p>
      <w:r>
        <w:t>Selon l’art. 16 al. 2 LIFD, sont considérées comme revenus les prestations en nature de tout genre dont bénéficie le contribuable. Cette disposition s’applique tant à l’activité lucrative indépendante que salariée (REICH/VON AH, in : ZWEIFEL/BEUSCH [édit.], Bundesgesetz über die direkte Bundessteuer, 4ème éd. 2022, n° 33 ad art. 18 LIFD ; NOËL, in : NOËL/AUBRY GIRARDIN [édit.], Commentaire romand, Impôt fédéral direct, 2ème éd. 2017, n° 40 ad art. 18 LIFD ; cf. ég. LOCHER, Kommentar zum Bundesgesetz über die direkte Bundessteuer, Teil I, 2ème éd. 2019, n° 65 ad art. 18 LIFD). Ainsi, les prestations en nature constituent un revenu imposable pour autant qu’elles proviennent de l’extérieur (REICH/WEIDMANN, in : ZWEIFEL/BEUSCH [édit.], Bundesgesetz über die direkte Bundessteuer, 4ème éd. 2022, n° 39 ad. art. 16 LIFD). Il peut s’agir par exemple de l’acquisition ou de la jouissance de biens et de droits (LOCHER, op. cit., n° 43 ad art. 16 LIFD). Les prestations en nature imposables sont estimées à leur valeur marchande (art. 16 al. 2, 2ème phrase LIFD).</w:t>
      </w:r>
    </w:p>
    <w:p>
      <w:r>
        <w:rPr>
          <w:b/>
        </w:rPr>
        <w:t>E. 4.2</w:t>
      </w:r>
    </w:p>
    <w:p>
      <w:r>
        <w:t>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147 II 338 consid. 3.2). Si les preuves recueillies par l'autorité fiscale apportent suffisamment d'indices révélant l'existence d'éléments imposables, il appartient à nouveau au</w:t>
      </w:r>
    </w:p>
    <w:p>
      <w:r>
        <w:t>- 14 - contribuable d’établir l’exactitude de ses allégations et de supporter le fardeau de la preuve du fait qui justifie son exonération (ibidem).</w:t>
      </w:r>
    </w:p>
    <w:p>
      <w:r>
        <w:rPr>
          <w:b/>
        </w:rPr>
        <w:t>E. 4.3</w:t>
      </w:r>
    </w:p>
    <w:p>
      <w:r>
        <w:t>En l’occurrence, il est établi que le recourant s’est fait remettre en avril 2012 un véhicule de marque Mercedes-Benz de la part de la société C _________ SA. Dans la mesure où une qualification à titre de donation est exclue s’agissant de biens reçus de sociétés commerciales (cf. supra consid. 3.2), c’est à juste titre que le fisc est parti du principe que ce bien constituait un revenu imposable en nature, à charge pour le contribuable d’apporter les éléments permettant de le qualifier différemment. Or, le recourant n’est pas parvenu à apporter une telle preuve. Il a en effet fait valoir que cette voiture lui avait été remise en exécution d’un contrat de vente et qu’il en aurait payé le prix d’acquisition de 60’000 fr. en espèces. Il n’a toutefois pas été en mesure de prouver l’existence d’un tel contrat, ni même le paiement du prix. Il n’a d’ailleurs entrepris aucune démarche en ce sens. Au demeurant, le fait qu’il n’ait pas été en mesure d’articuler le prix d’achat du véhicule lors de sa première audition devant la police cantonale force à n’accorder qu’un crédit limité à ses déclarations. Partant, la thèse du recourant selon laquelle ce véhicule avait été acquis à titre onéreux ne peut être suivie et le rappel d’impôt lié à la valeur de ce véhicule doit être confirmé. Cela étant, le SCC a fixé le montant imposable à 70’000 fr., alors que la valeur du véhicule au moment du transfert était estimée à 60’000 fr. selon les déclarations du recourant et de A _________. Le fisc n’ayant amené aucun élément permettant de s’écarter de ce montant, il convient de ramener le rappel d’impôt à 60’000 francs. Le grief y relatif doit donc être très partiellement admis en conséquence. Renonciation aux intérêts sur un prêt de 10’000 fr.</w:t>
      </w:r>
    </w:p>
    <w:p>
      <w:r>
        <w:rPr>
          <w:b/>
        </w:rPr>
        <w:t>E. 5</w:t>
      </w:r>
    </w:p>
    <w:p>
      <w:r>
        <w:t>Le recourant conteste devoir être imposé sur les intérêts auxquels C _________ SA a renoncé s’agissant du prêt octroyé sur le prix de vente des titres B _________ SA.</w:t>
      </w:r>
    </w:p>
    <w:p>
      <w:r>
        <w:rPr>
          <w:b/>
        </w:rPr>
        <w:t>E. 5.1</w:t>
      </w:r>
    </w:p>
    <w:p>
      <w:r>
        <w:t>Selon l’art. 20 al. 1 let. c LIFD, est imposable le rendement de la fortune mobilière, en particulier les dividendes, les parts de bénéfice, les excédents de liquidation et tous autres avantages appréciables en argent provenant de participations de tout genre (y compris les actions gratuites, les augmentations gratuites de la valeur nominale, etc.). De jurisprudence constante, il y a avantage appréciable en argent si 1) une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w:t>
      </w:r>
    </w:p>
    <w:p>
      <w:r>
        <w:t>- 15 - consid. 4.1; arrêt du Tribunal fédéral 2C_1006/2020 du 20 octobre 2021 consid. 5). Il faut entendre par « personne la ou le touchant de près » une personne physique ou morale qui entretient avec l'actionnaire, le détenteur de participations ou les organes de la société des relations économiques ou personnelles qui doivent être considérées, d'après les circonstances, comme la cause véritable de la prestation qu'il s'agit d'imposer (arrêt du Tribunal fédéral 2C_1006/2020 précité consid. 5.1).</w:t>
      </w:r>
    </w:p>
    <w:p>
      <w:r>
        <w:rPr>
          <w:b/>
        </w:rPr>
        <w:t>E. 5.2</w:t>
      </w:r>
    </w:p>
    <w:p>
      <w:r>
        <w:t>Lorsqu’une société anonyme accorde un prêt à son actionnaire (ou à un tiers qui lui est proche), ce prêt ne respecte pas le principe de pleine concurrence si le taux d'intérêt appliqué est inférieur au taux du marché ou s'il est accordé sans intérêt. La prestation appréciable en argent se mesure alors par la différence entre le taux d'intérêt conforme au principe de pleine concurrence et le taux effectivement appliqué (ATF 140 II 88 consid. 5 ; NOËL, op. cit., n° 88 ad art. 20 LIFD). A cet égard, l’AFC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entre des sociétés et leurs actionnaires ou associés ou leurs proches (ATF 140 II 88 consid. 5.1). Les lettre-circulaires 2013 et 2014, applicables aux périodes en cause, prévoient notamment des taux d'intérêts déterminants minimums en cas d'avances accordées aux actionnaires ou associés (ch. 1). Elles distinguent deux hypothèses à cet égard. Si le prêt est financé au moyen de fonds propres et si aucun intérêt n'est dû sur du capital étranger, le taux d'intérêt minimum s'élève à 1,5 % (ch. 1.1). En revanche, si le prêt est financé au moyen de capitaux étrangers, le taux d'intérêt minimum se calcule par référence à la charge d'intérêt due sur ces capitaux étrangers par la société prêteuse, à quoi s'ajoute un pourcentage de 0,5 % ou de 0,25 %, selon que le prêt est inférieur (ou égal) ou supérieur à 10 millions de francs, le taux devant dans tous les cas s'élever à au moins 1,5 % (ch. 1.2).</w:t>
      </w:r>
    </w:p>
    <w:p>
      <w:r>
        <w:rPr>
          <w:b/>
        </w:rPr>
        <w:t>E. 5.3</w:t>
      </w:r>
    </w:p>
    <w:p>
      <w:r>
        <w:t>En l’occurrence, il est établi que le recourant a acheté, le 6 mars 2013, dix actions B _________ SA à C _________ SA pour un montant de 10’000 fr., sans s’acquitter du prix d’achat. C’est donc à juste titre que le fisc a retenu l’existence d’un prêt de 10’000 fr. sans intérêts octroyé par C _________ SA. Ces éléments ne sont du reste pas contestés par le recourant. Il ressort également du rapport de dénonciation de la police cantonale que le recourant a noué dès 2009 une relation d’amitié avec l’actionnaire unique de la société, A _________. Les intéressés ont par ailleurs entretenu des relations professionnelles depuis le début 2013. L’achat des actions a d’ailleurs précisément eu</w:t>
      </w:r>
    </w:p>
    <w:p>
      <w:r>
        <w:t>- 16 - lieu dans une « optique de collaboration ». Partant, il doit être admis que le recourant était un proche de la société et que la renonciation par celle-ci à percevoir des intérêts sur le prix de vente de 10’000 fr. s’explique par cette relation. Le recourant n’a d’ailleurs avancé aucun élément permettant de démontrer que la société aurait accordé ce prêt aux mêmes conditions à un tiers qui n’entretenait pas de relations commerciales avec A _________. Il a uniquement fait valoir qu’il n’existait aucune circulaire de l’AFC qui impose un taux d’intérêt minimum pour des prêts entre personnes physiques. Or, le prêt litigieux ne lui a pas été accordé par une personne physique, mais par une société de capitaux. Partant, les intérêts auxquels C _________ SA a renoncé doivent être imposés à titre de prestation appréciable en argent. Pour le reste, le recourant ne critique pas la manière dont ces intérêts ont été calculés par le fisc. Le rappel d’impôt doit donc être confirmé sur ce point et le grief y relatif rejeté.</w:t>
      </w:r>
    </w:p>
    <w:p>
      <w:r>
        <w:t>Bénéfice sur la vente des actions B _________ SA</w:t>
      </w:r>
    </w:p>
    <w:p>
      <w:r>
        <w:rPr>
          <w:b/>
        </w:rPr>
        <w:t>E. 6</w:t>
      </w:r>
    </w:p>
    <w:p>
      <w:r>
        <w:t>Le recourant conteste l’imposition du bénéfice réalisé sur la vente des actions B _________ SA, arguant qu’il s’agit d’un gain en capital privé, exonéré d’impôt.</w:t>
      </w:r>
    </w:p>
    <w:p>
      <w:r>
        <w:rPr>
          <w:b/>
        </w:rPr>
        <w:t>E. 6.1</w:t>
      </w:r>
    </w:p>
    <w:p>
      <w:r>
        <w:t>En vertu de l’art. 18 al. 2 LIFD, sont imposables les bénéfices en capital provenant de l'aliénation, de la réalisation ou de la réévaluation comptable d'éléments de la fortune commerciale. Les gains en capital réalisés lors de l'aliénation d'éléments de la fortune privée ne sont en revanche pas imposables (art. 16 al. 3 LIFD). Cela signifie qu'un gain en capital n'est soumis à l'impôt fédéral direct que lorsque le bien aliéné fait partie de la fortune commerciale du contribuable, non pas lorsqu'il se rapporte à sa fortune privée (arrêt du Tribunal fédéral 9C_81/2023 du 18 septembre 2023 consid. 5.1).</w:t>
      </w:r>
    </w:p>
    <w:p>
      <w:r>
        <w:rPr>
          <w:b/>
        </w:rPr>
        <w:t>E. 6.2</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 du Tribunal fédéral 9C_81/2023 précité consid. 5.2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(ibidem).</w:t>
      </w:r>
    </w:p>
    <w:p>
      <w:r>
        <w:t>- 17 -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(arrêt du Tribunal fédéral 9C_667/2022 du 21 août 2023 consid. 6.3). Chacun de ces indices peut conduire, en concours avec les autres, voire même – exceptionnellement – isolément s'il revêt une intensité particulière, à la reconnaissance d'une activité lucrative indépendante (ibidem). En matière de commerce de titres, la manière de procéder systématique et planifiée, ainsi que l'utilisation de connaissances techniques spéciales ont une importance moindre ; en revanche, il faut donner plus de poids aux critères du volume des transactions et de l'engagement de fonds étrangers importants (ibidem ; cf. ég. la circulaire n° 36 du 27 juillet 2012 de l’AFC relative au commerce professionnel de titres).</w:t>
      </w:r>
    </w:p>
    <w:p>
      <w:r>
        <w:rPr>
          <w:b/>
        </w:rPr>
        <w:t>E. 6.3</w:t>
      </w:r>
    </w:p>
    <w:p>
      <w:r>
        <w:t>En l’occurrence, l’autorité intimée a considéré que le bénéfice tiré de la vente des actions devait être imposé à titre de revenu tiré de l’activité indépendante. Cette appréciation ne prête pas le flanc à la critique. D’une part, il ressort des propres déclarations du recourant que ces actions n’ont pas été achetées à des fins de placement de sa fortune privée, mais en vue de nouveaux projets professionnels. L’intéressé a en effet déclaré à la police cantonale avoir acquis le 10% du capital-actions de B _________ SA en vue de futurs projets, car il ne souhaitait plus conserver son poste au SCC (p. 140 du dossier du TC). Ce contexte ressort également des déclarations de A _________, qui a indiqué que les titres avaient été cédés au contribuable dans une « optique de collaboration » et qu’il était prévu à l’origine que celui-ci soit nommé administrateur de la société. D’autre part, il ressort des déclarations du recourant qu’au moment de l’achat des actions, la société C _________ SA s’était réservée le droit de les racheter ultérieurement. L’opération de revente était ainsi prévisible dès l’origine et s’inscrivait dans le cadre des projets que le recourant élaborait avec A _________ en vue d’une nouvelle activité dans le secteur privé. Il ne s’agissait donc pas d’une « simple opportunité du marché », contrairement à ce que le recourant prétend. Dans ce contexte, les autres critères d’examen mentionnés ci-dessus revêtent une importance secondaire. Partant, c’est à bon droit que l’autorité intimée a considéré les actions B _________ SA comme un élément de la fortune commerciale du recourant, en soumettant le bénéfice tiré de leur vente à l’impôt sur le revenu. Le grief y relatif doit donc être rejeté.</w:t>
      </w:r>
    </w:p>
    <w:p>
      <w:r>
        <w:t>- 18 - Versement bancaire injustifié</w:t>
      </w:r>
    </w:p>
    <w:p>
      <w:r>
        <w:rPr>
          <w:b/>
        </w:rPr>
        <w:t>E. 7.1</w:t>
      </w:r>
    </w:p>
    <w:p>
      <w:r>
        <w:t>Le recourant conteste l’imposition d’un montant de 9000 fr. versé sur son compte bancaire en 2012.</w:t>
      </w:r>
    </w:p>
    <w:p>
      <w:r>
        <w:rPr>
          <w:b/>
        </w:rPr>
        <w:t>E. 7.2</w:t>
      </w:r>
    </w:p>
    <w:p>
      <w:r>
        <w:t>Le SCC a procédé à un rappel d’impôt sur un montant de 9000 fr. versé le 17 février 2012 sur le compte bancaire n° xx-xx du recourant au L _________. Il a qualifié ce montant de revenu imposable au motif que sa provenance n’avait pas pu être expliquée. Le recourant a toutefois exposé dans son recours devant la CCR que ce versement provenait d’espèces prélevées sur son compte auprès de la banque P _________, à hauteur de 8000 fr. le 27 décembre 2011 et de 10’000 fr. le 10 février 2012. Compte tenu de la proximité entre la date du second retrait et celle du versement litigieux, la justification apportée par le contribuable peut être considérée comme vraisemblable, de sorte que l’on peut admettre qu’il a satisfait à ses obligations de preuves sur ce point (cf. supra consid. 4.2 ; cf. ég. arrêt de la CCR du 16 mars 2023 consid. 5). L’autorité intimée n’a d’ailleurs apporté aucun élément supplémentaire permettant de mettre en doute les explications fournies par le recourant, ayant renoncé à formuler des observations sur ce point dans la procédure de recours. Partant, le rappel d’impôt sur le versement de 9000 fr. doit être annulé et le grief y relatif admis. Provisions AVS</w:t>
      </w:r>
    </w:p>
    <w:p>
      <w:r>
        <w:rPr>
          <w:b/>
        </w:rPr>
        <w:t>E. 8</w:t>
      </w:r>
    </w:p>
    <w:p>
      <w:r>
        <w:t>Selon la jurisprudence, en cas de reprise sur le revenu provenant de l’activité lucrative indépendante, l’autorité de taxation doit calculer d’office le montant des cotisations AVS vraisemblablement dues par le contribuable pour la période fiscale concernée et provisionner ce montant (cf. art. 29 al. 1 let. a LIFD), afin que la taxation corresponde le plus possible à la situation financière réelle du contribuable (arrêts du Tribunal fédéral 9C_762/2023 du 26 juin 2024 consid. 8.5, 2C_487/2022 du 5 septembre 2023 consid. 4.6 et 4.7, 9C_738/2022 du 30 mai 2023 consid. 5.1). Partant, conformément à la pratique valaisanne, une provision de 10% pour les cotisations AVS sera calculée sur les reprises liées aux versements de C _________ SA, au véhicule Mercedes-Benz et au bénéfice sur la vente des actions B _________ SA. III. Impôts cantonaux et communaux</w:t>
      </w:r>
    </w:p>
    <w:p>
      <w:r>
        <w:rPr>
          <w:b/>
        </w:rPr>
        <w:t>E. 9</w:t>
      </w:r>
    </w:p>
    <w:p>
      <w:r>
        <w:t>La jurisprudence rendue en matière d'impôt fédéral direct est également valable pour l'application des dispositions cantonales harmonisées correspondantes (ATF 140 II 88 consid. 10). S’agissant des notions de revenu imposable, respectivement exonéré de</w:t>
      </w:r>
    </w:p>
    <w:p>
      <w:r>
        <w:t>- 19 - l’impôt, les art. 12 et 20 al. 1 let. a et d LF ont un contenu similaire aux art. 16 et 24 let. a et d LIFD, et conforme à l’art. 7 al. 1 et al. 4 let. c et f LHID. En outre, la notion d'activité lucrative indépendante doit être interprétée en droit cantonal de la même manière qu'en droit fédéral (arrêt du Tribunal fédéral 9C_667/2022 précité consid. 8). Les provisions pour cotisations AVS doivent également être calculées sur les reprises pour les impôts cantonaux et communaux (art. 23 al. 1 et 2 let. a, 25 al. 1 let. a, 29 al. 1 let. d et LF ; art. 9 al. 2 let. d, 10 al. 1 let. b LHID ; arrêt du Tribunal fédéral 2C_487/2022 précité consid. 9). De même, la notion d'avantage appréciable en argent au sens de l’art. 20 al. 1 let. c LIFD est identique à celle prévue à l’art. 14b al. 1 LF et correspond à l’art. 7 al. 1 LHID (arrêt du Tribunal fédéral 2C_1006/2020 précité consid. 10.1). Les règles relatives au fardeau de la preuve s’appliquent au demeurant aussi en droit cantonal (arrêt du Tribunal fédéral 2C_582/2017 du 23 février 2018 consid. 8.3). Partant, il peut être renvoyé à la motivation développée en matière d’impôt fédéral direct s’agissant des griefs exposés ci-dessus. Fortune mobilière</w:t>
      </w:r>
    </w:p>
    <w:p>
      <w:r>
        <w:rPr>
          <w:b/>
        </w:rPr>
        <w:t>E. 10</w:t>
      </w:r>
    </w:p>
    <w:p>
      <w:r>
        <w:t>Le recourant conteste le rappel d’impôt lié aux comptes bancaires L _________ libellés « O _________ », faisant valoir qu’il détient ces comptes uniquement à titre fiduciaire au nom et pour le compte des héritiers de feu son oncle.</w:t>
      </w:r>
    </w:p>
    <w:p>
      <w:r>
        <w:rPr>
          <w:b/>
        </w:rPr>
        <w:t>E. 10.1</w:t>
      </w:r>
    </w:p>
    <w:p>
      <w:r>
        <w:t>En droit fiscal, il est présumé que les opérations effectuées au nom propre de la personne qui agit sont conclues pour le compte de cette personne. Ainsi, les autorités fiscales peuvent en principe imputer les rapports de droit et leurs conséquences juridiques au contribuable dont le nom apparaît (arrêts du Tribunal fédéral 2C_864/2020 du 8 mars 2021 consid. 5.2, 2C_631/2017 du 30 janvier 2019 consid. 2.1). Toutefois, s'il existe un rapport fiduciaire, le fisc peut exceptionnellement tenir compte de la réalité économique et ne pas prendre en considération une opération conclue au nom du contribuable, mais effectuée en réalité pour un tiers. Le contribuable qui entend se prévaloir d'un tel rapport, en tant que facteur diminuant son imposition, doit en apporter la preuve. Il doit parvenir à démontrer sans discussion possible le rapport fiduciaire (ibidem). La « Notice : rapports fiduciaires » d’octobre 1967 de l’AFC précise les critères qui doivent être remplis pour qu'un rapport fiduciaire puisse être admis. Il faut notamment qu'un contrat écrit ait été conclu, qu’il décrive les biens sous mandat fiduciaire, prévoie que le fiduciaire n'encourt aucun risque et fixe sa rémunération (cf. let. A ; OBERSON, op. cit., § 25 n° 15). Le Tribunal fédéral a toutefois précisé que ces critères ne devaient pas impérativement être remplis. La preuve de l’existence d'un rapport fiduciaire peut être apportée par d'autres biais, mais une preuve claire doit dans tous les cas être présentée</w:t>
      </w:r>
    </w:p>
    <w:p>
      <w:r>
        <w:t>- 20 - (arrêts du Tribunal fédéral 2C_864/2020 précité consid. 5.2, 2C_631/2017 précité consid. 2.1). Ces principes développés en matière d'impôt fédéral direct valent également s'agissant de l’ICC (arrêt du Tribunal fédéral 2C_864/2020 précité consid. 5.2).</w:t>
      </w:r>
    </w:p>
    <w:p>
      <w:r>
        <w:rPr>
          <w:b/>
        </w:rPr>
        <w:t>E. 10.2</w:t>
      </w:r>
    </w:p>
    <w:p>
      <w:r>
        <w:t>En l’occurrence, les comptes litigieux du recourant auprès du L _________ sont certes libellés « O _________ ». Ils sont toutefois ouverts au seul nom du contribuable. Or, celui-ci n’a offert aucun moyen de preuve permettant d’établir l’existence d’un rapport fiduciaire avec les autres membres de l’hoirie. L’on ignore d’ailleurs l’identité de ces derniers. L’on ne connaît pas non plus la provenance des avoirs qui ont été versés sur ces comptes, le recourant s’étant contenté d’alléguer qu’ils avaient été ouverts afin de ne pas réclamer chaque année des versements aux six héritiers. Quant au contrat de location de 1996 portant sur la cabane « N _________ », il ne constitue aucun indice dans le sens d’un rapport fiduciaire. L’on observe également qu’en 2019, le solde du compte bancaire, de quelques 12’000 fr., était largement supérieur aux montants encore nécessaires pour couvrir l’assurance de la cabane jusqu’à la fin du bail, en mai 2026 (soit entre 200 et 300 fr. par an). Partant, aucun élément ne permet de retenir que le recourant ne peut pas disposer librement de ces avoirs et qu’il ne serait pas leur détenteur économique (cf. ég. arrêt de la CCR du 16 mars 2023, consid. 3c). Il doit donc être admis que ces comptes font partie de la fortune imposable du contribuable. Partant, le grief y relatif doit être rejeté. IV. Conclusion, frais et dépens</w:t>
      </w:r>
    </w:p>
    <w:p>
      <w:r>
        <w:rPr>
          <w:b/>
        </w:rPr>
        <w:t>E. 11</w:t>
      </w:r>
    </w:p>
    <w:p>
      <w:r>
        <w:t>Sur le vu de ce qui précède, le recours est partiellement admis en matière d’IFD et d’ICC pour les périodes fiscales 2012 à 2014. La décision sur réclamation du SCC doit être réformée en ce sens que le rappel d’impôt lié au versement bancaire de 9000 fr. est annulé, que celui lié au véhicule Mercedes-Benz est fixé à 60’000 fr. et qu’une provision pour cotisations AVS de 10% est calculée sur les reprises liées aux versements de C _________ SA, au véhicule Mercedes-Benz et au bénéfice sur la vente des actions B _________ SA. Le recours est pour le reste rejeté (art. 150 al. 3 LF ; art. 80 al. 1 let. e et 60 al. 1 LPJA).</w:t>
      </w:r>
    </w:p>
    <w:p>
      <w:r>
        <w:rPr>
          <w:b/>
        </w:rPr>
        <w:t>E. 12.1</w:t>
      </w:r>
    </w:p>
    <w:p>
      <w:r>
        <w:t>Le sort du procès commande de faire supporter aux recourants, solidairement entre eux, un émolument de justice réduit d’un quart, à 1500 fr. (art. 144 LIFD ; art. 8</w:t>
      </w:r>
    </w:p>
    <w:p>
      <w:r>
        <w:t>- 21 - LALIFD ; art. 150 al. 3 LF ; art. 88 al. 2, 89 al. 1 LPJA ; art. 3 al. 3, 11, 13 al. 1 et 25 LTar).</w:t>
      </w:r>
    </w:p>
    <w:p>
      <w:r>
        <w:rPr>
          <w:b/>
        </w:rPr>
        <w:t>E. 12.2</w:t>
      </w:r>
    </w:p>
    <w:p>
      <w:r>
        <w:t>Les recourants, qui ont pris une conclusion dans ce sens, ont droit à des dépens réduits à charge du fisc (art. 150 al. 3 LF ; art. 144 al. 4 LIFD et 64 al. 1 PA ; art. 91 al. 1 LPJA). Cette indemnité est fixée à 500 fr. (débours et TVA inclus) au vu notamment du travail effectué par l’avocat des recourants, qui a consisté principalement en la rédaction d’un mémoire de recours de 8 pages et de deux déterminations complémentaires (art. 150 al. 3 LF et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